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AD" w:rsidRDefault="00C363AD" w:rsidP="0028341F">
      <w:pPr>
        <w:pStyle w:val="Title"/>
        <w:spacing w:before="240"/>
      </w:pPr>
      <w:r>
        <w:rPr>
          <w:lang w:val="en-CA"/>
        </w:rPr>
        <w:t>Finance Report</w:t>
      </w:r>
    </w:p>
    <w:p w:rsidR="00C363AD" w:rsidRPr="0028341F" w:rsidRDefault="00C363AD" w:rsidP="0028341F">
      <w:pPr>
        <w:pStyle w:val="Subtitle"/>
        <w:rPr>
          <w:sz w:val="32"/>
          <w:szCs w:val="32"/>
        </w:rPr>
      </w:pPr>
      <w:r w:rsidRPr="0028341F">
        <w:rPr>
          <w:sz w:val="32"/>
          <w:szCs w:val="32"/>
          <w:lang w:val="en-CA"/>
        </w:rPr>
        <w:t>Immaculate Conception Parish Finance Committee</w:t>
      </w:r>
    </w:p>
    <w:p w:rsidR="00C363AD" w:rsidRPr="0028341F" w:rsidRDefault="00673EB8" w:rsidP="0028341F">
      <w:pPr>
        <w:rPr>
          <w:sz w:val="24"/>
          <w:szCs w:val="24"/>
        </w:rPr>
      </w:pPr>
      <w:r>
        <w:rPr>
          <w:sz w:val="24"/>
          <w:szCs w:val="24"/>
        </w:rPr>
        <w:t>April 2022</w:t>
      </w:r>
    </w:p>
    <w:p w:rsidR="00C363AD" w:rsidRDefault="00C363AD" w:rsidP="00D013AD">
      <w:pPr>
        <w:pStyle w:val="Heading2"/>
      </w:pPr>
    </w:p>
    <w:p w:rsidR="00C363AD" w:rsidRDefault="008B1F31" w:rsidP="00D013AD">
      <w:pPr>
        <w:pStyle w:val="Heading2"/>
      </w:pPr>
      <w:r>
        <w:rPr>
          <w:noProof/>
          <w:lang w:val="en-CA" w:eastAsia="en-CA"/>
        </w:rPr>
        <w:drawing>
          <wp:anchor distT="12192" distB="15621" distL="120396" distR="120269" simplePos="0" relativeHeight="25165516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51760" cy="1962785"/>
            <wp:effectExtent l="0" t="0" r="0" b="0"/>
            <wp:wrapSquare wrapText="bothSides"/>
            <wp:docPr id="5" name="Picture 37" descr="41589_102957146433141_5814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41589_102957146433141_5814_n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179" w:rsidRDefault="00F64179" w:rsidP="00DC0782">
      <w:pPr>
        <w:pStyle w:val="Heading2"/>
        <w:jc w:val="both"/>
        <w:rPr>
          <w:rFonts w:ascii="Palatino Linotype" w:hAnsi="Palatino Linotype"/>
          <w:bCs w:val="0"/>
          <w:color w:val="auto"/>
          <w:sz w:val="22"/>
          <w:szCs w:val="22"/>
        </w:rPr>
      </w:pPr>
    </w:p>
    <w:p w:rsidR="00C363AD" w:rsidRDefault="00C363AD" w:rsidP="00DC0782">
      <w:pPr>
        <w:pStyle w:val="Heading2"/>
        <w:jc w:val="both"/>
        <w:rPr>
          <w:rFonts w:ascii="Palatino Linotype" w:hAnsi="Palatino Linotype"/>
          <w:bCs w:val="0"/>
          <w:color w:val="auto"/>
          <w:sz w:val="22"/>
          <w:szCs w:val="22"/>
        </w:rPr>
      </w:pPr>
      <w:r>
        <w:rPr>
          <w:rFonts w:ascii="Palatino Linotype" w:hAnsi="Palatino Linotype"/>
          <w:bCs w:val="0"/>
          <w:color w:val="auto"/>
          <w:sz w:val="22"/>
          <w:szCs w:val="22"/>
        </w:rPr>
        <w:t>Dear Fellow Parishioners:</w:t>
      </w:r>
    </w:p>
    <w:p w:rsidR="003C6684" w:rsidRDefault="003C6684" w:rsidP="003C6684"/>
    <w:p w:rsidR="003C6684" w:rsidRPr="003C6684" w:rsidRDefault="003C6684" w:rsidP="003C6684">
      <w:r>
        <w:t xml:space="preserve">Happy </w:t>
      </w:r>
      <w:proofErr w:type="gramStart"/>
      <w:r>
        <w:t>Spring</w:t>
      </w:r>
      <w:proofErr w:type="gramEnd"/>
      <w:r>
        <w:t>!</w:t>
      </w:r>
    </w:p>
    <w:p w:rsidR="00242413" w:rsidRDefault="00A06F65" w:rsidP="00DC0782">
      <w:pPr>
        <w:pStyle w:val="Heading2"/>
        <w:jc w:val="both"/>
        <w:rPr>
          <w:rFonts w:ascii="Palatino Linotype" w:hAnsi="Palatino Linotype"/>
          <w:bCs w:val="0"/>
          <w:color w:val="auto"/>
          <w:sz w:val="22"/>
          <w:szCs w:val="22"/>
        </w:rPr>
      </w:pPr>
      <w:r>
        <w:rPr>
          <w:rFonts w:ascii="Palatino Linotype" w:hAnsi="Palatino Linotype"/>
          <w:bCs w:val="0"/>
          <w:color w:val="auto"/>
          <w:sz w:val="22"/>
          <w:szCs w:val="22"/>
        </w:rPr>
        <w:t>O</w:t>
      </w:r>
      <w:r w:rsidR="00C363AD" w:rsidRPr="00DC0782">
        <w:rPr>
          <w:rFonts w:ascii="Palatino Linotype" w:hAnsi="Palatino Linotype"/>
          <w:bCs w:val="0"/>
          <w:color w:val="auto"/>
          <w:sz w:val="22"/>
          <w:szCs w:val="22"/>
        </w:rPr>
        <w:t>n behalf of the Finance</w:t>
      </w:r>
      <w:r w:rsidR="00C363AD">
        <w:rPr>
          <w:rFonts w:ascii="Palatino Linotype" w:hAnsi="Palatino Linotype"/>
          <w:bCs w:val="0"/>
          <w:color w:val="auto"/>
          <w:sz w:val="22"/>
          <w:szCs w:val="22"/>
        </w:rPr>
        <w:t xml:space="preserve"> Committee</w:t>
      </w:r>
      <w:r w:rsidR="00A90DEC">
        <w:rPr>
          <w:rFonts w:ascii="Palatino Linotype" w:hAnsi="Palatino Linotype"/>
          <w:bCs w:val="0"/>
          <w:color w:val="auto"/>
          <w:sz w:val="22"/>
          <w:szCs w:val="22"/>
        </w:rPr>
        <w:t xml:space="preserve">, </w:t>
      </w:r>
      <w:r w:rsidR="00673EB8">
        <w:rPr>
          <w:rFonts w:ascii="Palatino Linotype" w:hAnsi="Palatino Linotype"/>
          <w:bCs w:val="0"/>
          <w:color w:val="auto"/>
          <w:sz w:val="22"/>
          <w:szCs w:val="22"/>
        </w:rPr>
        <w:t xml:space="preserve">we are </w:t>
      </w:r>
      <w:r w:rsidR="00C363AD" w:rsidRPr="00DC0782">
        <w:rPr>
          <w:rFonts w:ascii="Palatino Linotype" w:hAnsi="Palatino Linotype"/>
          <w:bCs w:val="0"/>
          <w:color w:val="auto"/>
          <w:sz w:val="22"/>
          <w:szCs w:val="22"/>
        </w:rPr>
        <w:t>pleased to</w:t>
      </w:r>
      <w:r w:rsidR="00C363AD">
        <w:rPr>
          <w:rFonts w:ascii="Palatino Linotype" w:hAnsi="Palatino Linotype"/>
          <w:bCs w:val="0"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Cs w:val="0"/>
          <w:color w:val="auto"/>
          <w:sz w:val="22"/>
          <w:szCs w:val="22"/>
        </w:rPr>
        <w:t xml:space="preserve">present to you our </w:t>
      </w:r>
      <w:r w:rsidR="00673EB8">
        <w:rPr>
          <w:rFonts w:ascii="Palatino Linotype" w:hAnsi="Palatino Linotype"/>
          <w:bCs w:val="0"/>
          <w:color w:val="auto"/>
          <w:sz w:val="22"/>
          <w:szCs w:val="22"/>
        </w:rPr>
        <w:t xml:space="preserve">year-end </w:t>
      </w:r>
      <w:r w:rsidR="00673EB8" w:rsidRPr="00673EB8">
        <w:rPr>
          <w:rFonts w:ascii="Palatino Linotype" w:hAnsi="Palatino Linotype"/>
          <w:b/>
          <w:bCs w:val="0"/>
          <w:color w:val="auto"/>
          <w:sz w:val="22"/>
          <w:szCs w:val="22"/>
        </w:rPr>
        <w:t>Financial Report</w:t>
      </w:r>
      <w:r w:rsidR="00673EB8">
        <w:rPr>
          <w:rFonts w:ascii="Palatino Linotype" w:hAnsi="Palatino Linotype"/>
          <w:bCs w:val="0"/>
          <w:color w:val="auto"/>
          <w:sz w:val="22"/>
          <w:szCs w:val="22"/>
        </w:rPr>
        <w:t xml:space="preserve"> and the </w:t>
      </w:r>
      <w:r w:rsidRPr="008E696D">
        <w:rPr>
          <w:rFonts w:ascii="Palatino Linotype" w:hAnsi="Palatino Linotype"/>
          <w:b/>
          <w:bCs w:val="0"/>
          <w:color w:val="auto"/>
          <w:sz w:val="22"/>
          <w:szCs w:val="22"/>
        </w:rPr>
        <w:t>Parish Budget for 20</w:t>
      </w:r>
      <w:r w:rsidR="00673EB8">
        <w:rPr>
          <w:rFonts w:ascii="Palatino Linotype" w:hAnsi="Palatino Linotype"/>
          <w:b/>
          <w:bCs w:val="0"/>
          <w:color w:val="auto"/>
          <w:sz w:val="22"/>
          <w:szCs w:val="22"/>
        </w:rPr>
        <w:t>22</w:t>
      </w:r>
      <w:r w:rsidRPr="008E696D">
        <w:rPr>
          <w:rFonts w:ascii="Palatino Linotype" w:hAnsi="Palatino Linotype"/>
          <w:b/>
          <w:bCs w:val="0"/>
          <w:color w:val="auto"/>
          <w:sz w:val="22"/>
          <w:szCs w:val="22"/>
        </w:rPr>
        <w:t xml:space="preserve">. </w:t>
      </w:r>
      <w:r>
        <w:rPr>
          <w:rFonts w:ascii="Palatino Linotype" w:hAnsi="Palatino Linotype"/>
          <w:bCs w:val="0"/>
          <w:color w:val="auto"/>
          <w:sz w:val="22"/>
          <w:szCs w:val="22"/>
        </w:rPr>
        <w:t>The Audit for 20</w:t>
      </w:r>
      <w:r w:rsidR="00673EB8">
        <w:rPr>
          <w:rFonts w:ascii="Palatino Linotype" w:hAnsi="Palatino Linotype"/>
          <w:bCs w:val="0"/>
          <w:color w:val="auto"/>
          <w:sz w:val="22"/>
          <w:szCs w:val="22"/>
        </w:rPr>
        <w:t>21</w:t>
      </w:r>
      <w:r w:rsidR="00E54AF4">
        <w:rPr>
          <w:rFonts w:ascii="Palatino Linotype" w:hAnsi="Palatino Linotype"/>
          <w:bCs w:val="0"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Cs w:val="0"/>
          <w:color w:val="auto"/>
          <w:sz w:val="22"/>
          <w:szCs w:val="22"/>
        </w:rPr>
        <w:t xml:space="preserve">is </w:t>
      </w:r>
      <w:r w:rsidR="00673EB8">
        <w:rPr>
          <w:rFonts w:ascii="Palatino Linotype" w:hAnsi="Palatino Linotype"/>
          <w:bCs w:val="0"/>
          <w:color w:val="auto"/>
          <w:sz w:val="22"/>
          <w:szCs w:val="22"/>
        </w:rPr>
        <w:t xml:space="preserve">being </w:t>
      </w:r>
      <w:r w:rsidR="003C6684">
        <w:rPr>
          <w:rFonts w:ascii="Palatino Linotype" w:hAnsi="Palatino Linotype"/>
          <w:bCs w:val="0"/>
          <w:color w:val="auto"/>
          <w:sz w:val="22"/>
          <w:szCs w:val="22"/>
        </w:rPr>
        <w:t>complete</w:t>
      </w:r>
      <w:r w:rsidR="00673EB8">
        <w:rPr>
          <w:rFonts w:ascii="Palatino Linotype" w:hAnsi="Palatino Linotype"/>
          <w:bCs w:val="0"/>
          <w:color w:val="auto"/>
          <w:sz w:val="22"/>
          <w:szCs w:val="22"/>
        </w:rPr>
        <w:t>d</w:t>
      </w:r>
      <w:r w:rsidR="003C6684">
        <w:rPr>
          <w:rFonts w:ascii="Palatino Linotype" w:hAnsi="Palatino Linotype"/>
          <w:bCs w:val="0"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Cs w:val="0"/>
          <w:color w:val="auto"/>
          <w:sz w:val="22"/>
          <w:szCs w:val="22"/>
        </w:rPr>
        <w:t xml:space="preserve">and we expect the final report shortly. We will share that report with </w:t>
      </w:r>
      <w:r w:rsidR="002D6421">
        <w:rPr>
          <w:rFonts w:ascii="Palatino Linotype" w:hAnsi="Palatino Linotype"/>
          <w:bCs w:val="0"/>
          <w:color w:val="auto"/>
          <w:sz w:val="22"/>
          <w:szCs w:val="22"/>
        </w:rPr>
        <w:t xml:space="preserve">you as well when it is received. </w:t>
      </w:r>
    </w:p>
    <w:p w:rsidR="00FB21F5" w:rsidRDefault="00FB21F5" w:rsidP="00FB21F5"/>
    <w:p w:rsidR="00673EB8" w:rsidRDefault="00673EB8" w:rsidP="00FB21F5">
      <w:r>
        <w:t>It has been a</w:t>
      </w:r>
      <w:r w:rsidR="007A06F0">
        <w:t>n</w:t>
      </w:r>
      <w:r>
        <w:t xml:space="preserve"> interesting year as we continued to deal with COVID</w:t>
      </w:r>
      <w:r w:rsidR="001B7A25">
        <w:t>-</w:t>
      </w:r>
      <w:r>
        <w:t>19 a</w:t>
      </w:r>
      <w:r w:rsidR="007A06F0">
        <w:t xml:space="preserve">s well as bring </w:t>
      </w:r>
      <w:r>
        <w:t xml:space="preserve">another Parish under our management </w:t>
      </w:r>
      <w:r w:rsidR="007A06F0">
        <w:t xml:space="preserve">and liturgical leadership </w:t>
      </w:r>
      <w:r>
        <w:t xml:space="preserve">– St. </w:t>
      </w:r>
      <w:proofErr w:type="spellStart"/>
      <w:r>
        <w:t>K</w:t>
      </w:r>
      <w:r w:rsidR="007A06F0">
        <w:t>ate</w:t>
      </w:r>
      <w:r>
        <w:t>ri</w:t>
      </w:r>
      <w:proofErr w:type="spellEnd"/>
      <w:r>
        <w:t xml:space="preserve">, Shubenacadie. </w:t>
      </w:r>
      <w:r w:rsidR="007A06F0">
        <w:t xml:space="preserve">We now have five </w:t>
      </w:r>
      <w:r w:rsidR="00026CCF">
        <w:t>church communities</w:t>
      </w:r>
      <w:r w:rsidR="008A318C">
        <w:t xml:space="preserve"> </w:t>
      </w:r>
      <w:r w:rsidR="007A06F0">
        <w:t>under Immaculate Conception</w:t>
      </w:r>
      <w:r w:rsidR="00026CCF">
        <w:t xml:space="preserve"> Parish as one.</w:t>
      </w:r>
      <w:bookmarkStart w:id="0" w:name="_GoBack"/>
      <w:bookmarkEnd w:id="0"/>
      <w:r w:rsidR="007A06F0">
        <w:t xml:space="preserve">   The demands on Father Dariusz are significant.</w:t>
      </w:r>
    </w:p>
    <w:p w:rsidR="00416765" w:rsidRDefault="007A6E0F" w:rsidP="008B3EB8">
      <w:r>
        <w:t xml:space="preserve">As previously </w:t>
      </w:r>
      <w:r w:rsidR="00416765">
        <w:t>report</w:t>
      </w:r>
      <w:r>
        <w:t>ed</w:t>
      </w:r>
      <w:r w:rsidR="00416765">
        <w:t xml:space="preserve"> to the Parish, </w:t>
      </w:r>
      <w:r>
        <w:t xml:space="preserve">our </w:t>
      </w:r>
      <w:r w:rsidR="00416765">
        <w:t>revenue has been fairly stagnant for the past five years. In fact, for the past several years, we have relied on bequests (which is unexpected revenue) to help fun</w:t>
      </w:r>
      <w:r w:rsidR="005F45A2">
        <w:t>d</w:t>
      </w:r>
      <w:r w:rsidR="00416765">
        <w:t xml:space="preserve"> operations and prevent us from being in a deficit position at year end.</w:t>
      </w:r>
      <w:r w:rsidR="006A0E49">
        <w:t xml:space="preserve"> </w:t>
      </w:r>
      <w:r w:rsidR="002D6421">
        <w:t xml:space="preserve"> </w:t>
      </w:r>
      <w:r w:rsidR="007A06F0">
        <w:t>COVID</w:t>
      </w:r>
      <w:r w:rsidR="001B7A25">
        <w:t>-</w:t>
      </w:r>
      <w:r w:rsidR="007A06F0">
        <w:t xml:space="preserve">19 presented </w:t>
      </w:r>
      <w:r w:rsidR="001B7A25">
        <w:t>additional challenges as we had far fewer people attending Mass, which impacted giving.</w:t>
      </w:r>
    </w:p>
    <w:p w:rsidR="001B7A25" w:rsidRPr="00D527BE" w:rsidRDefault="00D527BE" w:rsidP="008B3EB8">
      <w:pPr>
        <w:rPr>
          <w:b/>
        </w:rPr>
      </w:pPr>
      <w:r w:rsidRPr="00D527BE">
        <w:rPr>
          <w:b/>
        </w:rPr>
        <w:t>2021: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029"/>
      </w:tblGrid>
      <w:tr w:rsidR="001B7A25" w:rsidRPr="00D527BE" w:rsidTr="001B7A25">
        <w:tc>
          <w:tcPr>
            <w:tcW w:w="5148" w:type="dxa"/>
          </w:tcPr>
          <w:p w:rsidR="001B7A25" w:rsidRPr="00D527BE" w:rsidRDefault="001B7A25">
            <w:pPr>
              <w:spacing w:after="0" w:line="240" w:lineRule="auto"/>
              <w:rPr>
                <w:b/>
              </w:rPr>
            </w:pPr>
            <w:r w:rsidRPr="00D527BE">
              <w:rPr>
                <w:b/>
              </w:rPr>
              <w:t>Income</w:t>
            </w:r>
          </w:p>
        </w:tc>
        <w:tc>
          <w:tcPr>
            <w:tcW w:w="5148" w:type="dxa"/>
          </w:tcPr>
          <w:p w:rsidR="001B7A25" w:rsidRPr="00D527BE" w:rsidRDefault="001B7A25">
            <w:pPr>
              <w:spacing w:after="0" w:line="240" w:lineRule="auto"/>
              <w:rPr>
                <w:b/>
              </w:rPr>
            </w:pPr>
          </w:p>
        </w:tc>
      </w:tr>
      <w:tr w:rsidR="00D527BE" w:rsidTr="001B7A25"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>Collections and Direct Deposits</w:t>
            </w:r>
          </w:p>
        </w:tc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>$313,168</w:t>
            </w:r>
          </w:p>
        </w:tc>
      </w:tr>
      <w:tr w:rsidR="00D527BE" w:rsidTr="001B7A25"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>Capital Campaign</w:t>
            </w:r>
          </w:p>
        </w:tc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>$106,611</w:t>
            </w:r>
          </w:p>
        </w:tc>
      </w:tr>
      <w:tr w:rsidR="00D527BE" w:rsidTr="001B7A25"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>Ministries</w:t>
            </w:r>
          </w:p>
        </w:tc>
        <w:tc>
          <w:tcPr>
            <w:tcW w:w="5148" w:type="dxa"/>
          </w:tcPr>
          <w:p w:rsidR="00D527BE" w:rsidRDefault="009215BE">
            <w:pPr>
              <w:spacing w:after="0" w:line="240" w:lineRule="auto"/>
            </w:pPr>
            <w:r>
              <w:t>$38,353</w:t>
            </w:r>
          </w:p>
        </w:tc>
      </w:tr>
      <w:tr w:rsidR="009215BE" w:rsidTr="001B7A25">
        <w:tc>
          <w:tcPr>
            <w:tcW w:w="5148" w:type="dxa"/>
          </w:tcPr>
          <w:p w:rsidR="009215BE" w:rsidRDefault="009215BE" w:rsidP="00D527BE">
            <w:pPr>
              <w:spacing w:after="0" w:line="240" w:lineRule="auto"/>
            </w:pPr>
            <w:r>
              <w:t>COVID Wage Subsidy</w:t>
            </w:r>
          </w:p>
        </w:tc>
        <w:tc>
          <w:tcPr>
            <w:tcW w:w="5148" w:type="dxa"/>
          </w:tcPr>
          <w:p w:rsidR="009215BE" w:rsidRDefault="009215BE">
            <w:pPr>
              <w:spacing w:after="0" w:line="240" w:lineRule="auto"/>
            </w:pPr>
            <w:r>
              <w:t>$12,449</w:t>
            </w:r>
          </w:p>
        </w:tc>
      </w:tr>
      <w:tr w:rsidR="00D527BE" w:rsidTr="001B7A25">
        <w:tc>
          <w:tcPr>
            <w:tcW w:w="5148" w:type="dxa"/>
          </w:tcPr>
          <w:p w:rsidR="00D527BE" w:rsidRDefault="00D527BE" w:rsidP="00D527BE">
            <w:pPr>
              <w:spacing w:after="0" w:line="240" w:lineRule="auto"/>
            </w:pPr>
            <w:r>
              <w:t xml:space="preserve">Miscellaneous </w:t>
            </w:r>
          </w:p>
        </w:tc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>$41,352 (interest, mortgage, room &amp; board)</w:t>
            </w:r>
          </w:p>
        </w:tc>
      </w:tr>
      <w:tr w:rsidR="00D527BE" w:rsidRPr="00D527BE" w:rsidTr="001B7A25">
        <w:tc>
          <w:tcPr>
            <w:tcW w:w="5148" w:type="dxa"/>
          </w:tcPr>
          <w:p w:rsidR="00D527BE" w:rsidRPr="00D527BE" w:rsidRDefault="00D527BE">
            <w:pPr>
              <w:spacing w:after="0" w:line="240" w:lineRule="auto"/>
              <w:rPr>
                <w:b/>
              </w:rPr>
            </w:pPr>
            <w:r w:rsidRPr="00D527BE">
              <w:rPr>
                <w:b/>
              </w:rPr>
              <w:lastRenderedPageBreak/>
              <w:t>Total Income</w:t>
            </w:r>
          </w:p>
        </w:tc>
        <w:tc>
          <w:tcPr>
            <w:tcW w:w="5148" w:type="dxa"/>
          </w:tcPr>
          <w:p w:rsidR="00D527BE" w:rsidRPr="00D527BE" w:rsidRDefault="00D527BE" w:rsidP="009215BE">
            <w:pPr>
              <w:spacing w:after="0" w:line="240" w:lineRule="auto"/>
              <w:rPr>
                <w:b/>
              </w:rPr>
            </w:pPr>
            <w:r w:rsidRPr="00D527BE">
              <w:rPr>
                <w:b/>
              </w:rPr>
              <w:t>$</w:t>
            </w:r>
            <w:r w:rsidR="009215BE">
              <w:rPr>
                <w:b/>
              </w:rPr>
              <w:t>511,934</w:t>
            </w:r>
          </w:p>
        </w:tc>
      </w:tr>
    </w:tbl>
    <w:p w:rsidR="007E4416" w:rsidRDefault="007E4416">
      <w:pPr>
        <w:spacing w:after="0" w:line="240" w:lineRule="auto"/>
      </w:pPr>
    </w:p>
    <w:p w:rsidR="00D527BE" w:rsidRDefault="00D527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5"/>
        <w:gridCol w:w="5025"/>
      </w:tblGrid>
      <w:tr w:rsidR="00D527BE" w:rsidRPr="00785CA8" w:rsidTr="00D527BE">
        <w:tc>
          <w:tcPr>
            <w:tcW w:w="5148" w:type="dxa"/>
          </w:tcPr>
          <w:p w:rsidR="00D527BE" w:rsidRPr="00785CA8" w:rsidRDefault="00D527BE">
            <w:pPr>
              <w:spacing w:after="0" w:line="240" w:lineRule="auto"/>
              <w:rPr>
                <w:b/>
              </w:rPr>
            </w:pPr>
            <w:r w:rsidRPr="00785CA8">
              <w:rPr>
                <w:b/>
              </w:rPr>
              <w:t>Expenses</w:t>
            </w:r>
          </w:p>
        </w:tc>
        <w:tc>
          <w:tcPr>
            <w:tcW w:w="5148" w:type="dxa"/>
          </w:tcPr>
          <w:p w:rsidR="00D527BE" w:rsidRPr="00785CA8" w:rsidRDefault="00D527BE">
            <w:pPr>
              <w:spacing w:after="0" w:line="240" w:lineRule="auto"/>
              <w:rPr>
                <w:b/>
              </w:rPr>
            </w:pPr>
          </w:p>
        </w:tc>
      </w:tr>
      <w:tr w:rsidR="00D527BE" w:rsidTr="00D527BE"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>Church</w:t>
            </w:r>
          </w:p>
        </w:tc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>$173,390</w:t>
            </w:r>
          </w:p>
        </w:tc>
      </w:tr>
      <w:tr w:rsidR="00D527BE" w:rsidTr="00D527BE"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 xml:space="preserve">Hall </w:t>
            </w:r>
          </w:p>
        </w:tc>
        <w:tc>
          <w:tcPr>
            <w:tcW w:w="5148" w:type="dxa"/>
          </w:tcPr>
          <w:p w:rsidR="00D527BE" w:rsidRDefault="00D527BE">
            <w:pPr>
              <w:spacing w:after="0" w:line="240" w:lineRule="auto"/>
            </w:pPr>
            <w:r>
              <w:t>$1,149</w:t>
            </w:r>
          </w:p>
        </w:tc>
      </w:tr>
      <w:tr w:rsidR="00D527BE" w:rsidTr="00D527BE">
        <w:tc>
          <w:tcPr>
            <w:tcW w:w="5148" w:type="dxa"/>
          </w:tcPr>
          <w:p w:rsidR="00D527BE" w:rsidRDefault="00785CA8">
            <w:pPr>
              <w:spacing w:after="0" w:line="240" w:lineRule="auto"/>
            </w:pPr>
            <w:r>
              <w:t>Residence</w:t>
            </w:r>
          </w:p>
        </w:tc>
        <w:tc>
          <w:tcPr>
            <w:tcW w:w="5148" w:type="dxa"/>
          </w:tcPr>
          <w:p w:rsidR="00D527BE" w:rsidRDefault="00785CA8">
            <w:pPr>
              <w:spacing w:after="0" w:line="240" w:lineRule="auto"/>
            </w:pPr>
            <w:r>
              <w:t>$27,246</w:t>
            </w:r>
          </w:p>
        </w:tc>
      </w:tr>
      <w:tr w:rsidR="00785CA8" w:rsidTr="00D527BE">
        <w:tc>
          <w:tcPr>
            <w:tcW w:w="5148" w:type="dxa"/>
          </w:tcPr>
          <w:p w:rsidR="00785CA8" w:rsidRDefault="00785CA8">
            <w:pPr>
              <w:spacing w:after="0" w:line="240" w:lineRule="auto"/>
            </w:pPr>
            <w:r>
              <w:t>Administration</w:t>
            </w:r>
          </w:p>
        </w:tc>
        <w:tc>
          <w:tcPr>
            <w:tcW w:w="5148" w:type="dxa"/>
          </w:tcPr>
          <w:p w:rsidR="00785CA8" w:rsidRDefault="00785CA8">
            <w:pPr>
              <w:spacing w:after="0" w:line="240" w:lineRule="auto"/>
            </w:pPr>
            <w:r>
              <w:t>$107,459</w:t>
            </w:r>
          </w:p>
        </w:tc>
      </w:tr>
      <w:tr w:rsidR="00785CA8" w:rsidTr="00D527BE">
        <w:tc>
          <w:tcPr>
            <w:tcW w:w="5148" w:type="dxa"/>
          </w:tcPr>
          <w:p w:rsidR="00785CA8" w:rsidRDefault="00785CA8">
            <w:pPr>
              <w:spacing w:after="0" w:line="240" w:lineRule="auto"/>
            </w:pPr>
            <w:r>
              <w:t>Worship</w:t>
            </w:r>
          </w:p>
        </w:tc>
        <w:tc>
          <w:tcPr>
            <w:tcW w:w="5148" w:type="dxa"/>
          </w:tcPr>
          <w:p w:rsidR="00785CA8" w:rsidRDefault="00785CA8">
            <w:pPr>
              <w:spacing w:after="0" w:line="240" w:lineRule="auto"/>
            </w:pPr>
            <w:r>
              <w:t>$71,009</w:t>
            </w:r>
          </w:p>
        </w:tc>
      </w:tr>
      <w:tr w:rsidR="00785CA8" w:rsidTr="00D527BE">
        <w:tc>
          <w:tcPr>
            <w:tcW w:w="5148" w:type="dxa"/>
          </w:tcPr>
          <w:p w:rsidR="00785CA8" w:rsidRDefault="00785CA8">
            <w:pPr>
              <w:spacing w:after="0" w:line="240" w:lineRule="auto"/>
            </w:pPr>
            <w:r>
              <w:t>Ministries</w:t>
            </w:r>
          </w:p>
        </w:tc>
        <w:tc>
          <w:tcPr>
            <w:tcW w:w="5148" w:type="dxa"/>
          </w:tcPr>
          <w:p w:rsidR="00785CA8" w:rsidRDefault="00785CA8">
            <w:pPr>
              <w:spacing w:after="0" w:line="240" w:lineRule="auto"/>
            </w:pPr>
            <w:r>
              <w:t>$88,866</w:t>
            </w:r>
          </w:p>
        </w:tc>
      </w:tr>
      <w:tr w:rsidR="00785CA8" w:rsidTr="00D527BE">
        <w:tc>
          <w:tcPr>
            <w:tcW w:w="5148" w:type="dxa"/>
          </w:tcPr>
          <w:p w:rsidR="00785CA8" w:rsidRDefault="00785CA8" w:rsidP="00785CA8">
            <w:pPr>
              <w:spacing w:after="0" w:line="240" w:lineRule="auto"/>
            </w:pPr>
            <w:r>
              <w:t xml:space="preserve">Diocesan Assessment  </w:t>
            </w:r>
          </w:p>
        </w:tc>
        <w:tc>
          <w:tcPr>
            <w:tcW w:w="5148" w:type="dxa"/>
          </w:tcPr>
          <w:p w:rsidR="00785CA8" w:rsidRDefault="00785CA8">
            <w:pPr>
              <w:spacing w:after="0" w:line="240" w:lineRule="auto"/>
            </w:pPr>
            <w:r>
              <w:t>$44,041</w:t>
            </w:r>
          </w:p>
        </w:tc>
      </w:tr>
      <w:tr w:rsidR="00785CA8" w:rsidTr="00D527BE">
        <w:tc>
          <w:tcPr>
            <w:tcW w:w="5148" w:type="dxa"/>
          </w:tcPr>
          <w:p w:rsidR="00785CA8" w:rsidRDefault="00785CA8" w:rsidP="00785CA8">
            <w:pPr>
              <w:spacing w:after="0" w:line="240" w:lineRule="auto"/>
            </w:pPr>
            <w:r>
              <w:t>Total Expenses</w:t>
            </w:r>
          </w:p>
        </w:tc>
        <w:tc>
          <w:tcPr>
            <w:tcW w:w="5148" w:type="dxa"/>
          </w:tcPr>
          <w:p w:rsidR="00785CA8" w:rsidRDefault="00785CA8">
            <w:pPr>
              <w:spacing w:after="0" w:line="240" w:lineRule="auto"/>
            </w:pPr>
            <w:r>
              <w:t>$513,160</w:t>
            </w:r>
          </w:p>
        </w:tc>
      </w:tr>
      <w:tr w:rsidR="00785CA8" w:rsidTr="00D527BE">
        <w:tc>
          <w:tcPr>
            <w:tcW w:w="5148" w:type="dxa"/>
          </w:tcPr>
          <w:p w:rsidR="00785CA8" w:rsidRDefault="00785CA8" w:rsidP="00785CA8">
            <w:pPr>
              <w:spacing w:after="0" w:line="240" w:lineRule="auto"/>
            </w:pPr>
          </w:p>
        </w:tc>
        <w:tc>
          <w:tcPr>
            <w:tcW w:w="5148" w:type="dxa"/>
          </w:tcPr>
          <w:p w:rsidR="00785CA8" w:rsidRDefault="00785CA8">
            <w:pPr>
              <w:spacing w:after="0" w:line="240" w:lineRule="auto"/>
            </w:pPr>
          </w:p>
        </w:tc>
      </w:tr>
      <w:tr w:rsidR="00785CA8" w:rsidRPr="00785CA8" w:rsidTr="00D527BE">
        <w:tc>
          <w:tcPr>
            <w:tcW w:w="5148" w:type="dxa"/>
          </w:tcPr>
          <w:p w:rsidR="00785CA8" w:rsidRPr="00785CA8" w:rsidRDefault="00785CA8" w:rsidP="00785CA8">
            <w:pPr>
              <w:spacing w:after="0" w:line="240" w:lineRule="auto"/>
              <w:rPr>
                <w:b/>
              </w:rPr>
            </w:pPr>
            <w:r w:rsidRPr="00785CA8">
              <w:rPr>
                <w:b/>
              </w:rPr>
              <w:t>Deficit</w:t>
            </w:r>
          </w:p>
        </w:tc>
        <w:tc>
          <w:tcPr>
            <w:tcW w:w="5148" w:type="dxa"/>
          </w:tcPr>
          <w:p w:rsidR="00785CA8" w:rsidRPr="00785CA8" w:rsidRDefault="00785CA8">
            <w:pPr>
              <w:spacing w:after="0" w:line="240" w:lineRule="auto"/>
              <w:rPr>
                <w:b/>
              </w:rPr>
            </w:pPr>
            <w:r w:rsidRPr="00785CA8">
              <w:rPr>
                <w:b/>
              </w:rPr>
              <w:t>$1,226</w:t>
            </w:r>
          </w:p>
        </w:tc>
      </w:tr>
    </w:tbl>
    <w:p w:rsidR="00D527BE" w:rsidRDefault="00D527BE">
      <w:pPr>
        <w:spacing w:after="0" w:line="240" w:lineRule="auto"/>
      </w:pPr>
    </w:p>
    <w:p w:rsidR="00D527BE" w:rsidRDefault="00D527BE">
      <w:pPr>
        <w:spacing w:after="0" w:line="240" w:lineRule="auto"/>
      </w:pPr>
    </w:p>
    <w:p w:rsidR="00743977" w:rsidRDefault="007E4416">
      <w:pPr>
        <w:spacing w:after="0" w:line="240" w:lineRule="auto"/>
      </w:pPr>
      <w:r>
        <w:t xml:space="preserve">We need to reverse this trend so that our Parish continues to be </w:t>
      </w:r>
      <w:r w:rsidR="008A318C">
        <w:t xml:space="preserve">in </w:t>
      </w:r>
      <w:r>
        <w:t xml:space="preserve">a healthy position. We encourage all parishioners to continue to give weekly, and to set up direct deposit so that giving is consistent. </w:t>
      </w:r>
    </w:p>
    <w:p w:rsidR="00743977" w:rsidRDefault="00743977">
      <w:pPr>
        <w:spacing w:after="0" w:line="240" w:lineRule="auto"/>
      </w:pPr>
    </w:p>
    <w:p w:rsidR="00743977" w:rsidRPr="003677BD" w:rsidRDefault="00743977">
      <w:pPr>
        <w:spacing w:after="0" w:line="240" w:lineRule="auto"/>
        <w:rPr>
          <w:b/>
        </w:rPr>
      </w:pPr>
      <w:r w:rsidRPr="003677BD">
        <w:rPr>
          <w:b/>
        </w:rPr>
        <w:t>Budget 2022</w:t>
      </w:r>
    </w:p>
    <w:p w:rsidR="00743977" w:rsidRDefault="007439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5017"/>
      </w:tblGrid>
      <w:tr w:rsidR="00743977" w:rsidRPr="003677BD" w:rsidTr="00743977">
        <w:tc>
          <w:tcPr>
            <w:tcW w:w="5148" w:type="dxa"/>
          </w:tcPr>
          <w:p w:rsidR="00743977" w:rsidRPr="003677BD" w:rsidRDefault="009F1BDD">
            <w:pPr>
              <w:spacing w:after="0" w:line="240" w:lineRule="auto"/>
              <w:rPr>
                <w:b/>
              </w:rPr>
            </w:pPr>
            <w:r w:rsidRPr="003677BD">
              <w:rPr>
                <w:b/>
              </w:rPr>
              <w:t>Income</w:t>
            </w:r>
          </w:p>
        </w:tc>
        <w:tc>
          <w:tcPr>
            <w:tcW w:w="5148" w:type="dxa"/>
          </w:tcPr>
          <w:p w:rsidR="00743977" w:rsidRPr="003677BD" w:rsidRDefault="00743977">
            <w:pPr>
              <w:spacing w:after="0" w:line="240" w:lineRule="auto"/>
              <w:rPr>
                <w:b/>
              </w:rPr>
            </w:pP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Collections and Direct Deposits</w:t>
            </w:r>
          </w:p>
        </w:tc>
        <w:tc>
          <w:tcPr>
            <w:tcW w:w="5148" w:type="dxa"/>
          </w:tcPr>
          <w:p w:rsidR="00B033A0" w:rsidRDefault="00B033A0" w:rsidP="00B033A0">
            <w:pPr>
              <w:spacing w:after="0" w:line="240" w:lineRule="auto"/>
            </w:pPr>
            <w:r>
              <w:t>$313,499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All other Income</w:t>
            </w: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$107,655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</w:p>
        </w:tc>
      </w:tr>
      <w:tr w:rsidR="00B033A0" w:rsidRPr="003677BD" w:rsidTr="00743977">
        <w:tc>
          <w:tcPr>
            <w:tcW w:w="5148" w:type="dxa"/>
          </w:tcPr>
          <w:p w:rsidR="00B033A0" w:rsidRPr="003677BD" w:rsidRDefault="00B033A0">
            <w:pPr>
              <w:spacing w:after="0" w:line="240" w:lineRule="auto"/>
              <w:rPr>
                <w:b/>
              </w:rPr>
            </w:pPr>
            <w:r w:rsidRPr="003677BD">
              <w:rPr>
                <w:b/>
              </w:rPr>
              <w:t>Total Income</w:t>
            </w:r>
          </w:p>
        </w:tc>
        <w:tc>
          <w:tcPr>
            <w:tcW w:w="5148" w:type="dxa"/>
          </w:tcPr>
          <w:p w:rsidR="00B033A0" w:rsidRPr="003677BD" w:rsidRDefault="00B033A0" w:rsidP="00B033A0">
            <w:pPr>
              <w:spacing w:after="0" w:line="240" w:lineRule="auto"/>
              <w:rPr>
                <w:b/>
              </w:rPr>
            </w:pPr>
            <w:r w:rsidRPr="003677BD">
              <w:rPr>
                <w:b/>
              </w:rPr>
              <w:t>$420,655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</w:p>
        </w:tc>
      </w:tr>
      <w:tr w:rsidR="00B033A0" w:rsidRPr="003677BD" w:rsidTr="00743977">
        <w:tc>
          <w:tcPr>
            <w:tcW w:w="5148" w:type="dxa"/>
          </w:tcPr>
          <w:p w:rsidR="00B033A0" w:rsidRPr="003677BD" w:rsidRDefault="00B033A0">
            <w:pPr>
              <w:spacing w:after="0" w:line="240" w:lineRule="auto"/>
              <w:rPr>
                <w:b/>
              </w:rPr>
            </w:pPr>
            <w:r w:rsidRPr="003677BD">
              <w:rPr>
                <w:b/>
              </w:rPr>
              <w:t>Expenses</w:t>
            </w:r>
          </w:p>
        </w:tc>
        <w:tc>
          <w:tcPr>
            <w:tcW w:w="5148" w:type="dxa"/>
          </w:tcPr>
          <w:p w:rsidR="00B033A0" w:rsidRPr="003677BD" w:rsidRDefault="00B033A0">
            <w:pPr>
              <w:spacing w:after="0" w:line="240" w:lineRule="auto"/>
              <w:rPr>
                <w:b/>
              </w:rPr>
            </w:pP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Church</w:t>
            </w: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$116,700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Hall</w:t>
            </w: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$3,000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Residence</w:t>
            </w: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$32,800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Administration</w:t>
            </w: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$83,050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Ministries</w:t>
            </w: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$125,158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Formation/Worship</w:t>
            </w: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$11,700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Diocesan Assessment</w:t>
            </w: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  <w:r>
              <w:t>$46,247</w:t>
            </w:r>
          </w:p>
        </w:tc>
      </w:tr>
      <w:tr w:rsidR="00B033A0" w:rsidTr="00743977"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</w:p>
        </w:tc>
        <w:tc>
          <w:tcPr>
            <w:tcW w:w="5148" w:type="dxa"/>
          </w:tcPr>
          <w:p w:rsidR="00B033A0" w:rsidRDefault="00B033A0">
            <w:pPr>
              <w:spacing w:after="0" w:line="240" w:lineRule="auto"/>
            </w:pPr>
          </w:p>
        </w:tc>
      </w:tr>
      <w:tr w:rsidR="00B033A0" w:rsidRPr="003677BD" w:rsidTr="00743977">
        <w:tc>
          <w:tcPr>
            <w:tcW w:w="5148" w:type="dxa"/>
          </w:tcPr>
          <w:p w:rsidR="00B033A0" w:rsidRPr="003677BD" w:rsidRDefault="00B033A0">
            <w:pPr>
              <w:spacing w:after="0" w:line="240" w:lineRule="auto"/>
              <w:rPr>
                <w:b/>
              </w:rPr>
            </w:pPr>
            <w:r w:rsidRPr="003677BD">
              <w:rPr>
                <w:b/>
              </w:rPr>
              <w:t>Total Expenses</w:t>
            </w:r>
          </w:p>
        </w:tc>
        <w:tc>
          <w:tcPr>
            <w:tcW w:w="5148" w:type="dxa"/>
          </w:tcPr>
          <w:p w:rsidR="00B033A0" w:rsidRPr="003677BD" w:rsidRDefault="00B033A0">
            <w:pPr>
              <w:spacing w:after="0" w:line="240" w:lineRule="auto"/>
              <w:rPr>
                <w:b/>
              </w:rPr>
            </w:pPr>
            <w:r w:rsidRPr="003677BD">
              <w:rPr>
                <w:b/>
              </w:rPr>
              <w:t>$418,655</w:t>
            </w:r>
          </w:p>
        </w:tc>
      </w:tr>
      <w:tr w:rsidR="00B033A0" w:rsidRPr="003677BD" w:rsidTr="00743977">
        <w:tc>
          <w:tcPr>
            <w:tcW w:w="5148" w:type="dxa"/>
          </w:tcPr>
          <w:p w:rsidR="00B033A0" w:rsidRPr="003677BD" w:rsidRDefault="00B033A0">
            <w:pPr>
              <w:spacing w:after="0" w:line="240" w:lineRule="auto"/>
              <w:rPr>
                <w:b/>
              </w:rPr>
            </w:pPr>
          </w:p>
        </w:tc>
        <w:tc>
          <w:tcPr>
            <w:tcW w:w="5148" w:type="dxa"/>
          </w:tcPr>
          <w:p w:rsidR="00B033A0" w:rsidRPr="003677BD" w:rsidRDefault="00B033A0">
            <w:pPr>
              <w:spacing w:after="0" w:line="240" w:lineRule="auto"/>
              <w:rPr>
                <w:b/>
              </w:rPr>
            </w:pPr>
          </w:p>
        </w:tc>
      </w:tr>
      <w:tr w:rsidR="00B033A0" w:rsidRPr="003677BD" w:rsidTr="00743977">
        <w:tc>
          <w:tcPr>
            <w:tcW w:w="5148" w:type="dxa"/>
          </w:tcPr>
          <w:p w:rsidR="00B033A0" w:rsidRPr="003677BD" w:rsidRDefault="00B033A0">
            <w:pPr>
              <w:spacing w:after="0" w:line="240" w:lineRule="auto"/>
              <w:rPr>
                <w:b/>
              </w:rPr>
            </w:pPr>
            <w:r w:rsidRPr="003677BD">
              <w:rPr>
                <w:b/>
              </w:rPr>
              <w:t>Surplus</w:t>
            </w:r>
          </w:p>
        </w:tc>
        <w:tc>
          <w:tcPr>
            <w:tcW w:w="5148" w:type="dxa"/>
          </w:tcPr>
          <w:p w:rsidR="00B033A0" w:rsidRPr="003677BD" w:rsidRDefault="00B033A0">
            <w:pPr>
              <w:spacing w:after="0" w:line="240" w:lineRule="auto"/>
              <w:rPr>
                <w:b/>
              </w:rPr>
            </w:pPr>
            <w:r w:rsidRPr="003677BD">
              <w:rPr>
                <w:b/>
              </w:rPr>
              <w:t>$2000</w:t>
            </w:r>
          </w:p>
        </w:tc>
      </w:tr>
    </w:tbl>
    <w:p w:rsidR="00AB64F4" w:rsidRDefault="00AB64F4">
      <w:pPr>
        <w:spacing w:after="0" w:line="240" w:lineRule="auto"/>
      </w:pPr>
      <w:r>
        <w:br w:type="page"/>
      </w:r>
    </w:p>
    <w:p w:rsidR="00416765" w:rsidRDefault="00416765" w:rsidP="008B3EB8"/>
    <w:p w:rsidR="007E4416" w:rsidRPr="0082022C" w:rsidRDefault="003677BD" w:rsidP="008B3EB8">
      <w:pPr>
        <w:rPr>
          <w:b/>
        </w:rPr>
      </w:pPr>
      <w:r w:rsidRPr="0082022C">
        <w:rPr>
          <w:b/>
        </w:rPr>
        <w:t>Capital Campaign</w:t>
      </w:r>
    </w:p>
    <w:p w:rsidR="003677BD" w:rsidRDefault="003677BD" w:rsidP="008B3EB8">
      <w:r>
        <w:t>Our 2022 capital priority is to replace our 40 year old furnace and upgrade the heating/cooling</w:t>
      </w:r>
      <w:r w:rsidR="0082022C">
        <w:t xml:space="preserve"> system</w:t>
      </w:r>
      <w:r>
        <w:t>. We expect this</w:t>
      </w:r>
      <w:r w:rsidR="0082022C">
        <w:t xml:space="preserve"> to</w:t>
      </w:r>
      <w:r>
        <w:t xml:space="preserve"> cost in the range of $70,000. Any parishioner willing to support this project can speak with Fr. Dariusz.</w:t>
      </w:r>
    </w:p>
    <w:p w:rsidR="00C83954" w:rsidRDefault="00C83954">
      <w:pPr>
        <w:spacing w:after="0" w:line="240" w:lineRule="auto"/>
      </w:pPr>
      <w:r>
        <w:t xml:space="preserve">While we would love to say yes to every request for project support, it is simply impossible within </w:t>
      </w:r>
      <w:r w:rsidR="00AB64F4">
        <w:t xml:space="preserve">our limited </w:t>
      </w:r>
      <w:r>
        <w:t xml:space="preserve">operational budget. </w:t>
      </w:r>
    </w:p>
    <w:p w:rsidR="00C83954" w:rsidRDefault="00C83954">
      <w:pPr>
        <w:spacing w:after="0" w:line="240" w:lineRule="auto"/>
      </w:pPr>
    </w:p>
    <w:p w:rsidR="00AA1E67" w:rsidRDefault="00C0052B" w:rsidP="003677BD">
      <w:pPr>
        <w:spacing w:after="0" w:line="240" w:lineRule="auto"/>
      </w:pPr>
      <w:r>
        <w:t>Th</w:t>
      </w:r>
      <w:r w:rsidR="00C83954">
        <w:t>is</w:t>
      </w:r>
      <w:r>
        <w:t xml:space="preserve"> budget does not include any capacity to support </w:t>
      </w:r>
      <w:r w:rsidR="0082022C">
        <w:t xml:space="preserve">new initiatives </w:t>
      </w:r>
      <w:r w:rsidR="00AA1E67">
        <w:t xml:space="preserve">or new </w:t>
      </w:r>
      <w:r>
        <w:t>mission projects. While we encourage and support new ideas, projects and initiatives, they must be self-financing through sponsorships and/or fund raising.</w:t>
      </w:r>
      <w:r w:rsidR="00C83954">
        <w:t xml:space="preserve"> </w:t>
      </w:r>
    </w:p>
    <w:p w:rsidR="003677BD" w:rsidRDefault="003677BD" w:rsidP="003677BD">
      <w:pPr>
        <w:spacing w:after="0" w:line="240" w:lineRule="auto"/>
      </w:pPr>
    </w:p>
    <w:p w:rsidR="003677BD" w:rsidRDefault="003677BD" w:rsidP="003677BD">
      <w:pPr>
        <w:spacing w:after="0" w:line="240" w:lineRule="auto"/>
      </w:pPr>
      <w:r>
        <w:t xml:space="preserve">A friendly reminder that no ministry or parishioner has the authority to authorize </w:t>
      </w:r>
      <w:r w:rsidR="0082022C">
        <w:t>expenditures</w:t>
      </w:r>
      <w:r>
        <w:t xml:space="preserve"> on behalf of the Church.  All purchases must be prior approved by the Finance Committee or Fr. Dariusz.</w:t>
      </w:r>
    </w:p>
    <w:p w:rsidR="00D83C23" w:rsidRDefault="00D83C23">
      <w:pPr>
        <w:spacing w:after="0" w:line="240" w:lineRule="auto"/>
      </w:pPr>
    </w:p>
    <w:p w:rsidR="0003754E" w:rsidRDefault="0003754E" w:rsidP="005E22B6">
      <w:r>
        <w:t>Thank you for your continued support.  We would not have a</w:t>
      </w:r>
      <w:r w:rsidR="008E696D">
        <w:t xml:space="preserve"> vibrant Immaculate Conception </w:t>
      </w:r>
      <w:r>
        <w:t>Parish without you.</w:t>
      </w:r>
    </w:p>
    <w:p w:rsidR="00C363AD" w:rsidRDefault="00C363AD" w:rsidP="005E22B6">
      <w:r>
        <w:t xml:space="preserve">Please don’t hesitate to contact me, or Father Dariusz, at any time, should you wish to discuss this report or the activities of the Finance Committee. </w:t>
      </w:r>
    </w:p>
    <w:p w:rsidR="00C363AD" w:rsidRDefault="00C363AD" w:rsidP="00DC0782">
      <w:pPr>
        <w:spacing w:after="0" w:line="240" w:lineRule="auto"/>
        <w:jc w:val="both"/>
      </w:pPr>
    </w:p>
    <w:p w:rsidR="00C363AD" w:rsidRDefault="008B1F31" w:rsidP="005D086F">
      <w:pPr>
        <w:spacing w:after="0" w:line="240" w:lineRule="auto"/>
        <w:jc w:val="both"/>
      </w:pPr>
      <w:r>
        <w:rPr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110490</wp:posOffset>
            </wp:positionV>
            <wp:extent cx="2209800" cy="933450"/>
            <wp:effectExtent l="0" t="0" r="0" b="0"/>
            <wp:wrapNone/>
            <wp:docPr id="7" name="Picture 0" descr="Dianne Kelderman -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ianne Kelderman -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3AD" w:rsidRPr="000E44ED">
        <w:t>Together in Christ,</w:t>
      </w:r>
    </w:p>
    <w:p w:rsidR="00C363AD" w:rsidRDefault="00E54AF4" w:rsidP="005D086F">
      <w:pPr>
        <w:spacing w:after="0" w:line="240" w:lineRule="auto"/>
        <w:jc w:val="both"/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172085</wp:posOffset>
            </wp:positionV>
            <wp:extent cx="2505075" cy="857250"/>
            <wp:effectExtent l="19050" t="38100" r="0" b="57150"/>
            <wp:wrapNone/>
            <wp:docPr id="8" name="Picture 3" descr="Church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rch S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DF8"/>
                        </a:clrFrom>
                        <a:clrTo>
                          <a:srgbClr val="FEFD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636">
                      <a:off x="0" y="0"/>
                      <a:ext cx="25050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3AD" w:rsidRPr="000E44ED" w:rsidRDefault="00C363AD" w:rsidP="005D086F">
      <w:pPr>
        <w:spacing w:after="0" w:line="240" w:lineRule="auto"/>
        <w:jc w:val="both"/>
      </w:pPr>
    </w:p>
    <w:p w:rsidR="00C363AD" w:rsidRPr="000E44ED" w:rsidRDefault="00C363AD" w:rsidP="005D086F">
      <w:pPr>
        <w:tabs>
          <w:tab w:val="right" w:leader="underscore" w:pos="4320"/>
          <w:tab w:val="right" w:pos="5760"/>
          <w:tab w:val="right" w:leader="underscore" w:pos="10080"/>
        </w:tabs>
        <w:spacing w:after="0" w:line="240" w:lineRule="auto"/>
        <w:jc w:val="both"/>
      </w:pPr>
      <w:r>
        <w:tab/>
      </w:r>
      <w:r>
        <w:tab/>
      </w:r>
      <w:r>
        <w:tab/>
      </w:r>
    </w:p>
    <w:p w:rsidR="00C363AD" w:rsidRPr="005D086F" w:rsidRDefault="00C363AD" w:rsidP="005D086F">
      <w:pPr>
        <w:tabs>
          <w:tab w:val="center" w:pos="2160"/>
          <w:tab w:val="center" w:pos="7920"/>
        </w:tabs>
        <w:spacing w:after="0" w:line="240" w:lineRule="auto"/>
        <w:jc w:val="both"/>
      </w:pPr>
      <w:r>
        <w:tab/>
      </w:r>
      <w:r w:rsidRPr="005D086F">
        <w:t>Fr. Dariu</w:t>
      </w:r>
      <w:r w:rsidR="00E54AF4">
        <w:t>s</w:t>
      </w:r>
      <w:r w:rsidRPr="005D086F">
        <w:t>z,</w:t>
      </w:r>
      <w:r w:rsidRPr="005D086F">
        <w:tab/>
        <w:t>Dianne Kelderman,</w:t>
      </w:r>
    </w:p>
    <w:p w:rsidR="00C363AD" w:rsidRPr="005D086F" w:rsidRDefault="00C363AD" w:rsidP="005D086F">
      <w:pPr>
        <w:tabs>
          <w:tab w:val="center" w:pos="2160"/>
          <w:tab w:val="center" w:pos="7920"/>
        </w:tabs>
        <w:spacing w:after="0" w:line="240" w:lineRule="auto"/>
        <w:jc w:val="both"/>
      </w:pPr>
      <w:r>
        <w:tab/>
        <w:t>Parish Priest</w:t>
      </w:r>
      <w:r>
        <w:tab/>
      </w:r>
      <w:r w:rsidRPr="005D086F">
        <w:t>Finance Committee Chair</w:t>
      </w:r>
    </w:p>
    <w:p w:rsidR="00C363AD" w:rsidRDefault="00C363AD" w:rsidP="005D086F">
      <w:pPr>
        <w:tabs>
          <w:tab w:val="center" w:pos="2160"/>
          <w:tab w:val="center" w:pos="7920"/>
        </w:tabs>
        <w:spacing w:after="0" w:line="240" w:lineRule="auto"/>
        <w:jc w:val="both"/>
      </w:pPr>
      <w:r>
        <w:tab/>
        <w:t>893-7188</w:t>
      </w:r>
      <w:r>
        <w:tab/>
        <w:t>899-0070</w:t>
      </w:r>
    </w:p>
    <w:p w:rsidR="00C363AD" w:rsidRPr="005D086F" w:rsidRDefault="00C363AD" w:rsidP="005D086F">
      <w:pPr>
        <w:tabs>
          <w:tab w:val="center" w:pos="2160"/>
          <w:tab w:val="center" w:pos="7920"/>
        </w:tabs>
        <w:spacing w:after="0"/>
        <w:jc w:val="both"/>
      </w:pPr>
      <w:r>
        <w:tab/>
      </w:r>
      <w:r w:rsidRPr="005D086F">
        <w:t>icc.dariusz@eastlink.ca</w:t>
      </w:r>
      <w:r>
        <w:tab/>
      </w:r>
      <w:r w:rsidRPr="005D086F">
        <w:t>diannefk@eastlink.ca</w:t>
      </w:r>
    </w:p>
    <w:p w:rsidR="00C363AD" w:rsidRDefault="00C363AD" w:rsidP="005D086F">
      <w:pPr>
        <w:jc w:val="both"/>
      </w:pPr>
    </w:p>
    <w:p w:rsidR="00C363AD" w:rsidRDefault="00C363AD" w:rsidP="005D086F">
      <w:pPr>
        <w:jc w:val="both"/>
      </w:pPr>
    </w:p>
    <w:sectPr w:rsidR="00C363AD" w:rsidSect="0028341F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3B" w:rsidRDefault="003B0D3B">
      <w:pPr>
        <w:spacing w:after="0" w:line="240" w:lineRule="auto"/>
      </w:pPr>
      <w:r>
        <w:separator/>
      </w:r>
    </w:p>
  </w:endnote>
  <w:endnote w:type="continuationSeparator" w:id="0">
    <w:p w:rsidR="003B0D3B" w:rsidRDefault="003B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AD" w:rsidRDefault="00C363AD">
    <w:pPr>
      <w:jc w:val="right"/>
    </w:pPr>
  </w:p>
  <w:p w:rsidR="00C363AD" w:rsidRDefault="005530F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3AD">
      <w:rPr>
        <w:noProof/>
      </w:rPr>
      <w:t>2</w:t>
    </w:r>
    <w:r>
      <w:rPr>
        <w:noProof/>
      </w:rPr>
      <w:fldChar w:fldCharType="end"/>
    </w:r>
    <w:r w:rsidR="00C363AD">
      <w:t xml:space="preserve"> </w:t>
    </w:r>
    <w:r w:rsidR="00C363AD">
      <w:rPr>
        <w:color w:val="A28E6A"/>
      </w:rPr>
      <w:sym w:font="Wingdings 2" w:char="F097"/>
    </w:r>
    <w:r w:rsidR="00C363AD">
      <w:t xml:space="preserve"> </w:t>
    </w:r>
  </w:p>
  <w:p w:rsidR="00C363AD" w:rsidRDefault="008B1F31">
    <w:pPr>
      <w:jc w:val="right"/>
    </w:pPr>
    <w:r>
      <w:rPr>
        <w:noProof/>
        <w:lang w:val="en-CA" w:eastAsia="en-CA"/>
      </w:rPr>
      <mc:AlternateContent>
        <mc:Choice Requires="wpg">
          <w:drawing>
            <wp:inline distT="0" distB="0" distL="0" distR="0">
              <wp:extent cx="2327910" cy="45085"/>
              <wp:effectExtent l="9525" t="9525" r="15240" b="12065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5"/>
                      <wps:cNvCnPr/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6"/>
                      <wps:cNvCnPr/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EA15486"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IrsQAAADaAAAADwAAAGRycy9kb3ducmV2LnhtbESPQWvCQBSE70L/w/IKvekmOZQSXYMI&#10;Qg+10FREb8/sM5s2+zZkV03667uFgsdhZr5hFsVgW3Gl3jeOFaSzBARx5XTDtYLd52b6AsIHZI2t&#10;Y1Iwkodi+TBZYK7djT/oWoZaRAj7HBWYELpcSl8ZsuhnriOO3tn1FkOUfS11j7cIt63MkuRZWmw4&#10;LhjsaG2o+i4vVsE+26YHc/qSo3//eTuW9VGOulPq6XFYzUEEGsI9/N9+1Qoy+LsSb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UiuxAAAANoAAAAPAAAAAAAAAAAA&#10;AAAAAKECAABkcnMvZG93bnJldi54bWxQSwUGAAAAAAQABAD5AAAAkgMAAAAA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mn8IAAADaAAAADwAAAGRycy9kb3ducmV2LnhtbESPQWvCQBSE7wX/w/KE3urGiiVEVxGh&#10;mJOgFqG3Z/aZBLNvQ/ZVY399VxB6HGbmG2a+7F2jrtSF2rOB8SgBRVx4W3Np4Ovw+ZaCCoJssfFM&#10;Bu4UYLkYvMwxs/7GO7rupVQRwiFDA5VIm2kdioochpFviaN39p1DibIrte3wFuGu0e9J8qEd1hwX&#10;KmxpXVFx2f84A98uPU4PfJTN5jTZ/qaS96siN+Z12K9moIR6+Q8/27k1MIHHlXgD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cmn8IAAADaAAAADwAAAAAAAAAAAAAA&#10;AAChAgAAZHJzL2Rvd25yZXYueG1sUEsFBgAAAAAEAAQA+QAAAJADAAAAAA==&#10;" strokecolor="#438086" strokeweight=".25pt"/>
              <w10:anchorlock/>
            </v:group>
          </w:pict>
        </mc:Fallback>
      </mc:AlternateContent>
    </w:r>
  </w:p>
  <w:p w:rsidR="00C363AD" w:rsidRDefault="00C363AD">
    <w:pPr>
      <w:pStyle w:val="NoSpacing"/>
      <w:rPr>
        <w:sz w:val="2"/>
        <w:szCs w:val="2"/>
      </w:rPr>
    </w:pPr>
  </w:p>
  <w:p w:rsidR="00C363AD" w:rsidRDefault="00C363AD"/>
  <w:p w:rsidR="00C363AD" w:rsidRDefault="00C363AD"/>
  <w:p w:rsidR="00C363AD" w:rsidRDefault="00C363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AD" w:rsidRDefault="00C363AD">
    <w:pPr>
      <w:jc w:val="center"/>
    </w:pPr>
    <w:r>
      <w:rPr>
        <w:color w:val="D34817"/>
      </w:rPr>
      <w:t xml:space="preserve">Immaculate Conception Parish Finance Committee </w:t>
    </w:r>
    <w:r>
      <w:rPr>
        <w:color w:val="D34817"/>
      </w:rPr>
      <w:sym w:font="Wingdings" w:char="F09F"/>
    </w:r>
    <w:r>
      <w:rPr>
        <w:color w:val="D34817"/>
      </w:rPr>
      <w:t xml:space="preserve"> </w:t>
    </w:r>
    <w:r>
      <w:rPr>
        <w:color w:val="D34817"/>
      </w:rPr>
      <w:fldChar w:fldCharType="begin"/>
    </w:r>
    <w:r>
      <w:rPr>
        <w:color w:val="D34817"/>
      </w:rPr>
      <w:instrText xml:space="preserve"> PAGE  \* Arabic  \* MERGEFORMAT </w:instrText>
    </w:r>
    <w:r>
      <w:rPr>
        <w:color w:val="D34817"/>
      </w:rPr>
      <w:fldChar w:fldCharType="separate"/>
    </w:r>
    <w:r w:rsidR="00026CCF">
      <w:rPr>
        <w:noProof/>
        <w:color w:val="D34817"/>
      </w:rPr>
      <w:t>2</w:t>
    </w:r>
    <w:r>
      <w:rPr>
        <w:color w:val="D348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3B" w:rsidRDefault="003B0D3B">
      <w:pPr>
        <w:spacing w:after="0" w:line="240" w:lineRule="auto"/>
      </w:pPr>
      <w:r>
        <w:separator/>
      </w:r>
    </w:p>
  </w:footnote>
  <w:footnote w:type="continuationSeparator" w:id="0">
    <w:p w:rsidR="003B0D3B" w:rsidRDefault="003B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AD" w:rsidRDefault="00C363AD">
    <w:pPr>
      <w:spacing w:after="0"/>
      <w:jc w:val="center"/>
      <w:rPr>
        <w:color w:val="E9E5DC"/>
      </w:rPr>
    </w:pPr>
    <w:r>
      <w:rPr>
        <w:color w:val="D34817"/>
        <w:lang w:val="en-CA"/>
      </w:rPr>
      <w:t>Finance Report</w:t>
    </w:r>
  </w:p>
  <w:p w:rsidR="00C363AD" w:rsidRDefault="00C363AD">
    <w:pPr>
      <w:jc w:val="center"/>
      <w:rPr>
        <w:color w:val="D34817"/>
      </w:rPr>
    </w:pPr>
    <w:r>
      <w:rPr>
        <w:color w:val="D34817"/>
      </w:rPr>
      <w:sym w:font="Symbol" w:char="F0B7"/>
    </w:r>
    <w:r>
      <w:rPr>
        <w:color w:val="D34817"/>
      </w:rPr>
      <w:t xml:space="preserve"> </w:t>
    </w:r>
    <w:r>
      <w:rPr>
        <w:color w:val="D34817"/>
      </w:rPr>
      <w:sym w:font="Symbol" w:char="F0B7"/>
    </w:r>
    <w:r>
      <w:rPr>
        <w:color w:val="D34817"/>
      </w:rPr>
      <w:t xml:space="preserve"> </w:t>
    </w:r>
    <w:r>
      <w:rPr>
        <w:color w:val="D34817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C61"/>
    <w:multiLevelType w:val="multilevel"/>
    <w:tmpl w:val="493C1196"/>
    <w:lvl w:ilvl="0">
      <w:start w:val="893"/>
      <w:numFmt w:val="decimal"/>
      <w:lvlText w:val="%1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1">
      <w:start w:val="7188"/>
      <w:numFmt w:val="decimal"/>
      <w:lvlText w:val="%1-%2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</w:abstractNum>
  <w:abstractNum w:abstractNumId="1" w15:restartNumberingAfterBreak="0">
    <w:nsid w:val="63B56BE9"/>
    <w:multiLevelType w:val="hybridMultilevel"/>
    <w:tmpl w:val="4DDC5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25A58"/>
    <w:multiLevelType w:val="multilevel"/>
    <w:tmpl w:val="B7DAAE00"/>
    <w:lvl w:ilvl="0">
      <w:start w:val="893"/>
      <w:numFmt w:val="decimal"/>
      <w:lvlText w:val="%1"/>
      <w:lvlJc w:val="left"/>
      <w:pPr>
        <w:ind w:left="1065" w:hanging="1065"/>
      </w:pPr>
      <w:rPr>
        <w:rFonts w:cs="Times New Roman" w:hint="default"/>
      </w:rPr>
    </w:lvl>
    <w:lvl w:ilvl="1">
      <w:start w:val="7188"/>
      <w:numFmt w:val="decimal"/>
      <w:lvlText w:val="%1-%2"/>
      <w:lvlJc w:val="left"/>
      <w:pPr>
        <w:ind w:left="3300" w:hanging="10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5535" w:hanging="10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770" w:hanging="10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0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2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8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70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9320" w:hanging="1440"/>
      </w:pPr>
      <w:rPr>
        <w:rFonts w:cs="Times New Roman" w:hint="default"/>
      </w:rPr>
    </w:lvl>
  </w:abstractNum>
  <w:abstractNum w:abstractNumId="3" w15:restartNumberingAfterBreak="0">
    <w:nsid w:val="6F0A1580"/>
    <w:multiLevelType w:val="multilevel"/>
    <w:tmpl w:val="EFA4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62048"/>
    <w:multiLevelType w:val="hybridMultilevel"/>
    <w:tmpl w:val="56A09FC0"/>
    <w:lvl w:ilvl="0" w:tplc="1E9C9EB6">
      <w:start w:val="2018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41DA3"/>
    <w:multiLevelType w:val="hybridMultilevel"/>
    <w:tmpl w:val="78F6F734"/>
    <w:lvl w:ilvl="0" w:tplc="2408B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12"/>
    <w:rsid w:val="00016499"/>
    <w:rsid w:val="00026CCF"/>
    <w:rsid w:val="0003754E"/>
    <w:rsid w:val="00043E89"/>
    <w:rsid w:val="00063B2F"/>
    <w:rsid w:val="000E44ED"/>
    <w:rsid w:val="001360D2"/>
    <w:rsid w:val="00182D00"/>
    <w:rsid w:val="001B7A25"/>
    <w:rsid w:val="001C73CE"/>
    <w:rsid w:val="001E3480"/>
    <w:rsid w:val="00213619"/>
    <w:rsid w:val="00242413"/>
    <w:rsid w:val="0025396D"/>
    <w:rsid w:val="002662AE"/>
    <w:rsid w:val="00275449"/>
    <w:rsid w:val="002832D9"/>
    <w:rsid w:val="0028341F"/>
    <w:rsid w:val="00285EF3"/>
    <w:rsid w:val="002A469F"/>
    <w:rsid w:val="002A54FC"/>
    <w:rsid w:val="002D6421"/>
    <w:rsid w:val="002F010E"/>
    <w:rsid w:val="002F32CF"/>
    <w:rsid w:val="002F644F"/>
    <w:rsid w:val="003677BD"/>
    <w:rsid w:val="00391EF9"/>
    <w:rsid w:val="003B0D3B"/>
    <w:rsid w:val="003C6684"/>
    <w:rsid w:val="003D26A9"/>
    <w:rsid w:val="003F5865"/>
    <w:rsid w:val="00416765"/>
    <w:rsid w:val="00473F78"/>
    <w:rsid w:val="00485F19"/>
    <w:rsid w:val="004A25BC"/>
    <w:rsid w:val="004D1744"/>
    <w:rsid w:val="004E4DE8"/>
    <w:rsid w:val="004F56BC"/>
    <w:rsid w:val="005035A5"/>
    <w:rsid w:val="00514788"/>
    <w:rsid w:val="005215A2"/>
    <w:rsid w:val="005530F1"/>
    <w:rsid w:val="005A1AD0"/>
    <w:rsid w:val="005A72BC"/>
    <w:rsid w:val="005D086F"/>
    <w:rsid w:val="005D29FE"/>
    <w:rsid w:val="005E22B6"/>
    <w:rsid w:val="005F45A2"/>
    <w:rsid w:val="00604267"/>
    <w:rsid w:val="00613C95"/>
    <w:rsid w:val="00657CC5"/>
    <w:rsid w:val="00673EB8"/>
    <w:rsid w:val="00695140"/>
    <w:rsid w:val="006A0E49"/>
    <w:rsid w:val="00720405"/>
    <w:rsid w:val="0072305A"/>
    <w:rsid w:val="00724443"/>
    <w:rsid w:val="00741C92"/>
    <w:rsid w:val="00743977"/>
    <w:rsid w:val="007458AB"/>
    <w:rsid w:val="00764DB5"/>
    <w:rsid w:val="00772D53"/>
    <w:rsid w:val="0077437D"/>
    <w:rsid w:val="00785CA8"/>
    <w:rsid w:val="007A06F0"/>
    <w:rsid w:val="007A07F9"/>
    <w:rsid w:val="007A214D"/>
    <w:rsid w:val="007A6E0F"/>
    <w:rsid w:val="007C4046"/>
    <w:rsid w:val="007E4416"/>
    <w:rsid w:val="00801446"/>
    <w:rsid w:val="0082022C"/>
    <w:rsid w:val="00892F54"/>
    <w:rsid w:val="008A318C"/>
    <w:rsid w:val="008B1F31"/>
    <w:rsid w:val="008B3EB8"/>
    <w:rsid w:val="008B720B"/>
    <w:rsid w:val="008D65DB"/>
    <w:rsid w:val="008E4CEF"/>
    <w:rsid w:val="008E696D"/>
    <w:rsid w:val="008E7048"/>
    <w:rsid w:val="009215BE"/>
    <w:rsid w:val="00927310"/>
    <w:rsid w:val="009570CA"/>
    <w:rsid w:val="009608EE"/>
    <w:rsid w:val="009A4007"/>
    <w:rsid w:val="009B3E35"/>
    <w:rsid w:val="009E52E4"/>
    <w:rsid w:val="009F1BDD"/>
    <w:rsid w:val="00A06F65"/>
    <w:rsid w:val="00A409C4"/>
    <w:rsid w:val="00A90DEC"/>
    <w:rsid w:val="00AA1E67"/>
    <w:rsid w:val="00AB64F4"/>
    <w:rsid w:val="00AE0DE2"/>
    <w:rsid w:val="00AE2A0E"/>
    <w:rsid w:val="00B033A0"/>
    <w:rsid w:val="00B07ACD"/>
    <w:rsid w:val="00B33925"/>
    <w:rsid w:val="00B44991"/>
    <w:rsid w:val="00B60495"/>
    <w:rsid w:val="00B620CE"/>
    <w:rsid w:val="00BB007D"/>
    <w:rsid w:val="00C0052B"/>
    <w:rsid w:val="00C363AD"/>
    <w:rsid w:val="00C61A5C"/>
    <w:rsid w:val="00C83954"/>
    <w:rsid w:val="00C860A0"/>
    <w:rsid w:val="00CC1011"/>
    <w:rsid w:val="00D013AD"/>
    <w:rsid w:val="00D023C2"/>
    <w:rsid w:val="00D03A08"/>
    <w:rsid w:val="00D05325"/>
    <w:rsid w:val="00D21A12"/>
    <w:rsid w:val="00D441AB"/>
    <w:rsid w:val="00D527BE"/>
    <w:rsid w:val="00D83C23"/>
    <w:rsid w:val="00DC0782"/>
    <w:rsid w:val="00DC6512"/>
    <w:rsid w:val="00DE130B"/>
    <w:rsid w:val="00DE4193"/>
    <w:rsid w:val="00E067E3"/>
    <w:rsid w:val="00E41DED"/>
    <w:rsid w:val="00E478C2"/>
    <w:rsid w:val="00E54AF4"/>
    <w:rsid w:val="00E577DB"/>
    <w:rsid w:val="00E8473E"/>
    <w:rsid w:val="00EB4344"/>
    <w:rsid w:val="00EC6E93"/>
    <w:rsid w:val="00ED7C0F"/>
    <w:rsid w:val="00F13C9A"/>
    <w:rsid w:val="00F17E53"/>
    <w:rsid w:val="00F63177"/>
    <w:rsid w:val="00F64179"/>
    <w:rsid w:val="00F72579"/>
    <w:rsid w:val="00FB0B79"/>
    <w:rsid w:val="00FB21F5"/>
    <w:rsid w:val="00FC4D86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9653D00-A424-4E8B-96C7-AC16DFF3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99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44991"/>
    <w:pPr>
      <w:keepNext/>
      <w:keepLines/>
      <w:spacing w:before="360" w:after="0" w:line="240" w:lineRule="auto"/>
      <w:outlineLvl w:val="0"/>
    </w:pPr>
    <w:rPr>
      <w:rFonts w:ascii="Century Gothic" w:hAnsi="Century Gothic"/>
      <w:bCs/>
      <w:i/>
      <w:color w:val="D3481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0782"/>
    <w:pPr>
      <w:keepNext/>
      <w:keepLines/>
      <w:spacing w:before="120" w:after="0" w:line="240" w:lineRule="auto"/>
      <w:outlineLvl w:val="1"/>
    </w:pPr>
    <w:rPr>
      <w:rFonts w:ascii="Century Gothic" w:hAnsi="Century Gothic"/>
      <w:bCs/>
      <w:color w:val="9B2D1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91"/>
    <w:pPr>
      <w:keepNext/>
      <w:keepLines/>
      <w:spacing w:before="20" w:after="0" w:line="240" w:lineRule="auto"/>
      <w:outlineLvl w:val="2"/>
    </w:pPr>
    <w:rPr>
      <w:rFonts w:ascii="Century Gothic" w:hAnsi="Century Gothic"/>
      <w:bCs/>
      <w:i/>
      <w:color w:val="696464"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91"/>
    <w:pPr>
      <w:keepNext/>
      <w:keepLines/>
      <w:spacing w:before="200" w:after="0" w:line="264" w:lineRule="auto"/>
      <w:outlineLvl w:val="3"/>
    </w:pPr>
    <w:rPr>
      <w:rFonts w:ascii="Century Gothic" w:hAnsi="Century Gothic"/>
      <w:bCs/>
      <w:i/>
      <w:iCs/>
      <w:color w:val="696464"/>
      <w:sz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91"/>
    <w:pPr>
      <w:keepNext/>
      <w:keepLines/>
      <w:spacing w:before="200" w:after="0" w:line="264" w:lineRule="auto"/>
      <w:outlineLvl w:val="4"/>
    </w:pPr>
    <w:rPr>
      <w:rFonts w:ascii="Century Gothic" w:hAnsi="Century Gothic"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91"/>
    <w:pPr>
      <w:keepNext/>
      <w:keepLines/>
      <w:spacing w:before="200" w:after="0" w:line="264" w:lineRule="auto"/>
      <w:outlineLvl w:val="5"/>
    </w:pPr>
    <w:rPr>
      <w:rFonts w:ascii="Century Gothic" w:hAnsi="Century Gothic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91"/>
    <w:pPr>
      <w:keepNext/>
      <w:keepLines/>
      <w:spacing w:before="200" w:after="0" w:line="264" w:lineRule="auto"/>
      <w:outlineLvl w:val="6"/>
    </w:pPr>
    <w:rPr>
      <w:rFonts w:ascii="Century Gothic" w:hAnsi="Century Gothic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91"/>
    <w:pPr>
      <w:keepNext/>
      <w:keepLines/>
      <w:spacing w:before="200" w:after="0" w:line="264" w:lineRule="auto"/>
      <w:outlineLvl w:val="7"/>
    </w:pPr>
    <w:rPr>
      <w:rFonts w:ascii="Century Gothic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91"/>
    <w:pPr>
      <w:keepNext/>
      <w:keepLines/>
      <w:spacing w:before="200" w:after="0" w:line="264" w:lineRule="auto"/>
      <w:outlineLvl w:val="8"/>
    </w:pPr>
    <w:rPr>
      <w:rFonts w:ascii="Century Gothic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91"/>
    <w:rPr>
      <w:rFonts w:ascii="Century Gothic" w:hAnsi="Century Gothic" w:cs="Times New Roman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0782"/>
    <w:rPr>
      <w:rFonts w:ascii="Century Gothic" w:hAnsi="Century Gothic" w:cs="Times New Roman"/>
      <w:bCs/>
      <w:color w:val="9B2D1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4991"/>
    <w:rPr>
      <w:rFonts w:ascii="Century Gothic" w:hAnsi="Century Gothic" w:cs="Times New Roman"/>
      <w:bCs/>
      <w:i/>
      <w:color w:val="auto"/>
      <w:sz w:val="23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91"/>
    <w:rPr>
      <w:rFonts w:ascii="Century Gothic" w:hAnsi="Century Gothic" w:cs="Times New Roman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91"/>
    <w:rPr>
      <w:rFonts w:ascii="Century Gothic" w:hAnsi="Century Gothic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91"/>
    <w:rPr>
      <w:rFonts w:ascii="Century Gothic" w:hAnsi="Century Gothic" w:cs="Times New Roman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91"/>
    <w:rPr>
      <w:rFonts w:ascii="Century Gothic" w:hAnsi="Century Gothic" w:cs="Times New Roman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91"/>
    <w:rPr>
      <w:rFonts w:ascii="Century Gothic" w:hAnsi="Century Gothic" w:cs="Times New Roman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91"/>
    <w:rPr>
      <w:rFonts w:ascii="Century Gothic" w:hAnsi="Century Gothic" w:cs="Times New Roman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C0782"/>
    <w:pPr>
      <w:spacing w:after="300" w:line="240" w:lineRule="auto"/>
      <w:contextualSpacing/>
    </w:pPr>
    <w:rPr>
      <w:rFonts w:ascii="Century Gothic" w:hAnsi="Century Gothic"/>
      <w:color w:val="6F493C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C0782"/>
    <w:rPr>
      <w:rFonts w:ascii="Century Gothic" w:hAnsi="Century Gothic" w:cs="Times New Roman"/>
      <w:color w:val="6F493C"/>
      <w:spacing w:val="5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91"/>
    <w:pPr>
      <w:numPr>
        <w:ilvl w:val="1"/>
      </w:numPr>
    </w:pPr>
    <w:rPr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91"/>
    <w:rPr>
      <w:rFonts w:eastAsia="Times New Roman" w:cs="Times New Roman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B449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4991"/>
    <w:rPr>
      <w:rFonts w:eastAsia="Times New Roman" w:cs="Times New Roman"/>
    </w:rPr>
  </w:style>
  <w:style w:type="paragraph" w:styleId="NoSpacing">
    <w:name w:val="No Spacing"/>
    <w:link w:val="NoSpacingChar"/>
    <w:uiPriority w:val="99"/>
    <w:qFormat/>
    <w:rsid w:val="00B44991"/>
  </w:style>
  <w:style w:type="character" w:customStyle="1" w:styleId="NoSpacingChar">
    <w:name w:val="No Spacing Char"/>
    <w:basedOn w:val="DefaultParagraphFont"/>
    <w:link w:val="NoSpacing"/>
    <w:uiPriority w:val="99"/>
    <w:locked/>
    <w:rsid w:val="00B44991"/>
    <w:rPr>
      <w:rFonts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B4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99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B44991"/>
    <w:pPr>
      <w:spacing w:line="240" w:lineRule="auto"/>
    </w:pPr>
    <w:rPr>
      <w:b/>
      <w:bCs/>
      <w:color w:val="696464"/>
      <w:sz w:val="18"/>
      <w:szCs w:val="18"/>
    </w:rPr>
  </w:style>
  <w:style w:type="character" w:styleId="Strong">
    <w:name w:val="Strong"/>
    <w:basedOn w:val="DefaultParagraphFont"/>
    <w:uiPriority w:val="99"/>
    <w:qFormat/>
    <w:rsid w:val="00B4499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91"/>
    <w:rPr>
      <w:rFonts w:cs="Times New Roman"/>
      <w:i/>
      <w:iCs/>
      <w:color w:val="auto"/>
    </w:rPr>
  </w:style>
  <w:style w:type="paragraph" w:styleId="ListParagraph">
    <w:name w:val="List Paragraph"/>
    <w:basedOn w:val="Normal"/>
    <w:uiPriority w:val="99"/>
    <w:qFormat/>
    <w:rsid w:val="00B44991"/>
    <w:pPr>
      <w:spacing w:after="160" w:line="240" w:lineRule="auto"/>
      <w:ind w:left="1008" w:hanging="288"/>
      <w:contextualSpacing/>
    </w:pPr>
    <w:rPr>
      <w:sz w:val="21"/>
    </w:rPr>
  </w:style>
  <w:style w:type="paragraph" w:styleId="Quote">
    <w:name w:val="Quote"/>
    <w:basedOn w:val="Normal"/>
    <w:next w:val="Normal"/>
    <w:link w:val="QuoteChar"/>
    <w:uiPriority w:val="99"/>
    <w:qFormat/>
    <w:rsid w:val="00B44991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color w:val="D34817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91"/>
    <w:rPr>
      <w:rFonts w:ascii="Century Gothic" w:hAnsi="Century Gothic" w:cs="Times New Roman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91"/>
    <w:pPr>
      <w:pBdr>
        <w:top w:val="single" w:sz="36" w:space="8" w:color="D34817"/>
        <w:left w:val="single" w:sz="36" w:space="8" w:color="D34817"/>
        <w:bottom w:val="single" w:sz="36" w:space="8" w:color="D34817"/>
        <w:right w:val="single" w:sz="36" w:space="8" w:color="D34817"/>
      </w:pBdr>
      <w:shd w:val="clear" w:color="auto" w:fill="D34817"/>
      <w:spacing w:before="200" w:after="280" w:line="300" w:lineRule="auto"/>
      <w:ind w:left="936" w:right="936"/>
      <w:jc w:val="center"/>
    </w:pPr>
    <w:rPr>
      <w:rFonts w:ascii="Century Gothic" w:hAnsi="Century Gothic"/>
      <w:bCs/>
      <w:i/>
      <w:iCs/>
      <w:color w:val="000000"/>
      <w:sz w:val="24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91"/>
    <w:rPr>
      <w:rFonts w:ascii="Century Gothic" w:hAnsi="Century Gothic" w:cs="Times New Roman"/>
      <w:bCs/>
      <w:i/>
      <w:iCs/>
      <w:color w:val="000000"/>
      <w:sz w:val="24"/>
      <w:shd w:val="clear" w:color="auto" w:fill="D34817"/>
      <w:lang w:bidi="hi-IN"/>
    </w:rPr>
  </w:style>
  <w:style w:type="character" w:styleId="SubtleEmphasis">
    <w:name w:val="Subtle Emphasis"/>
    <w:basedOn w:val="DefaultParagraphFont"/>
    <w:uiPriority w:val="99"/>
    <w:qFormat/>
    <w:rsid w:val="00B44991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B44991"/>
    <w:rPr>
      <w:rFonts w:cs="Times New Roman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sid w:val="00B44991"/>
    <w:rPr>
      <w:rFonts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B44991"/>
    <w:rPr>
      <w:rFonts w:cs="Times New Roman"/>
      <w:b/>
      <w:bC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91"/>
    <w:rPr>
      <w:rFonts w:cs="Times New Roman"/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B44991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44991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B4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4991"/>
    <w:rPr>
      <w:rFonts w:cs="Times New Roman"/>
    </w:rPr>
  </w:style>
  <w:style w:type="character" w:styleId="Hyperlink">
    <w:name w:val="Hyperlink"/>
    <w:basedOn w:val="DefaultParagraphFont"/>
    <w:uiPriority w:val="99"/>
    <w:rsid w:val="000E44ED"/>
    <w:rPr>
      <w:rFonts w:cs="Times New Roman"/>
      <w:color w:val="CC9900"/>
      <w:u w:val="single"/>
    </w:rPr>
  </w:style>
  <w:style w:type="table" w:styleId="TableGrid">
    <w:name w:val="Table Grid"/>
    <w:basedOn w:val="TableNormal"/>
    <w:rsid w:val="0041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1109">
              <w:marLeft w:val="600"/>
              <w:marRight w:val="60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A\My%20Documents\Dianne%20Kelderman\Immaculate%20Conception%20Parish%20-%20Finance%20Report%20-%20Feb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Immaculate Conception Parish - Finance Report - Feb 2011</Template>
  <TotalTime>6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House of Commons / Chambre des communes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subject>Immaculate Conception Parish Finance Committee</dc:subject>
  <dc:creator>Andrea Jackson</dc:creator>
  <cp:lastModifiedBy>Louise</cp:lastModifiedBy>
  <cp:revision>3</cp:revision>
  <cp:lastPrinted>2009-08-05T20:41:00Z</cp:lastPrinted>
  <dcterms:created xsi:type="dcterms:W3CDTF">2022-04-07T11:06:00Z</dcterms:created>
  <dcterms:modified xsi:type="dcterms:W3CDTF">2022-04-07T11:43:00Z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